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B2BE" w14:textId="44BABC3E" w:rsidR="00CF20B3" w:rsidRPr="00D70B4A" w:rsidRDefault="00CF20B3" w:rsidP="00CF20B3">
      <w:pPr>
        <w:widowControl w:val="0"/>
        <w:autoSpaceDE w:val="0"/>
        <w:autoSpaceDN w:val="0"/>
        <w:adjustRightInd w:val="0"/>
        <w:rPr>
          <w:rFonts w:ascii="Times New Roman" w:hAnsi="Times New Roman" w:cs="Arial"/>
        </w:rPr>
      </w:pPr>
      <w:r w:rsidRPr="00D70B4A">
        <w:rPr>
          <w:rFonts w:ascii="Times New Roman" w:hAnsi="Times New Roman" w:cs="Arial"/>
        </w:rPr>
        <w:t xml:space="preserve">To request a Burleson Institute expert for a speaking engagement, please address an email to </w:t>
      </w:r>
      <w:r w:rsidRPr="00D70B4A">
        <w:rPr>
          <w:rFonts w:ascii="Times New Roman" w:hAnsi="Times New Roman"/>
        </w:rPr>
        <w:t>B@BurlesonInstitute.org</w:t>
      </w:r>
      <w:r w:rsidRPr="00D70B4A">
        <w:rPr>
          <w:rFonts w:ascii="Times New Roman" w:hAnsi="Times New Roman" w:cs="Arial"/>
        </w:rPr>
        <w:t xml:space="preserve"> and include:</w:t>
      </w:r>
    </w:p>
    <w:p w14:paraId="0ACF1275" w14:textId="77777777" w:rsidR="00F93392" w:rsidRPr="00D70B4A" w:rsidRDefault="00F93392" w:rsidP="00CF20B3">
      <w:pPr>
        <w:widowControl w:val="0"/>
        <w:autoSpaceDE w:val="0"/>
        <w:autoSpaceDN w:val="0"/>
        <w:adjustRightInd w:val="0"/>
        <w:rPr>
          <w:rFonts w:ascii="Times New Roman" w:hAnsi="Times New Roman" w:cs="Arial"/>
        </w:rPr>
      </w:pPr>
    </w:p>
    <w:p w14:paraId="78BD0BD2" w14:textId="77777777" w:rsidR="00CF20B3" w:rsidRPr="00D70B4A" w:rsidRDefault="00CF20B3"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Date of event</w:t>
      </w:r>
    </w:p>
    <w:p w14:paraId="077B7985" w14:textId="77777777" w:rsidR="00CF20B3" w:rsidRPr="00D70B4A" w:rsidRDefault="00CF20B3"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Location of event</w:t>
      </w:r>
    </w:p>
    <w:p w14:paraId="26F18B1B" w14:textId="6BC5283D" w:rsidR="00CF20B3" w:rsidRPr="00D70B4A" w:rsidRDefault="00790FCF"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Kind of event (e.g.</w:t>
      </w:r>
      <w:r w:rsidR="00CF20B3" w:rsidRPr="00D70B4A">
        <w:rPr>
          <w:rFonts w:ascii="Times New Roman" w:hAnsi="Times New Roman" w:cs="Arial"/>
          <w:sz w:val="22"/>
          <w:szCs w:val="22"/>
        </w:rPr>
        <w:t xml:space="preserve"> keynote speech, panel</w:t>
      </w:r>
      <w:r w:rsidRPr="00D70B4A">
        <w:rPr>
          <w:rFonts w:ascii="Times New Roman" w:hAnsi="Times New Roman" w:cs="Arial"/>
          <w:sz w:val="22"/>
          <w:szCs w:val="22"/>
        </w:rPr>
        <w:t xml:space="preserve"> presentation</w:t>
      </w:r>
      <w:r w:rsidR="00CF20B3" w:rsidRPr="00D70B4A">
        <w:rPr>
          <w:rFonts w:ascii="Times New Roman" w:hAnsi="Times New Roman" w:cs="Arial"/>
          <w:sz w:val="22"/>
          <w:szCs w:val="22"/>
        </w:rPr>
        <w:t xml:space="preserve">, </w:t>
      </w:r>
      <w:r w:rsidRPr="00D70B4A">
        <w:rPr>
          <w:rFonts w:ascii="Times New Roman" w:hAnsi="Times New Roman" w:cs="Arial"/>
          <w:sz w:val="22"/>
          <w:szCs w:val="22"/>
        </w:rPr>
        <w:t xml:space="preserve">class, etc. </w:t>
      </w:r>
    </w:p>
    <w:p w14:paraId="1B724F98" w14:textId="4B6CFB8C" w:rsidR="00CF20B3" w:rsidRPr="00D70B4A" w:rsidRDefault="00CF20B3"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 xml:space="preserve">Topic </w:t>
      </w:r>
    </w:p>
    <w:p w14:paraId="0B644A52" w14:textId="06781343" w:rsidR="00CF20B3" w:rsidRPr="00D70B4A" w:rsidRDefault="00AD75F4"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H</w:t>
      </w:r>
      <w:r w:rsidR="00CF20B3" w:rsidRPr="00D70B4A">
        <w:rPr>
          <w:rFonts w:ascii="Times New Roman" w:hAnsi="Times New Roman" w:cs="Arial"/>
          <w:sz w:val="22"/>
          <w:szCs w:val="22"/>
        </w:rPr>
        <w:t xml:space="preserve">onorarium </w:t>
      </w:r>
      <w:r w:rsidRPr="00D70B4A">
        <w:rPr>
          <w:rFonts w:ascii="Times New Roman" w:hAnsi="Times New Roman" w:cs="Arial"/>
          <w:sz w:val="22"/>
          <w:szCs w:val="22"/>
        </w:rPr>
        <w:t xml:space="preserve">and travel expenses </w:t>
      </w:r>
    </w:p>
    <w:p w14:paraId="2183E5F0" w14:textId="77777777" w:rsidR="00CF20B3" w:rsidRPr="00D70B4A" w:rsidRDefault="00CF20B3" w:rsidP="00BB12EF">
      <w:pPr>
        <w:widowControl w:val="0"/>
        <w:numPr>
          <w:ilvl w:val="0"/>
          <w:numId w:val="1"/>
        </w:numPr>
        <w:tabs>
          <w:tab w:val="left" w:pos="220"/>
          <w:tab w:val="left" w:pos="360"/>
        </w:tabs>
        <w:autoSpaceDE w:val="0"/>
        <w:autoSpaceDN w:val="0"/>
        <w:adjustRightInd w:val="0"/>
        <w:ind w:hanging="450"/>
        <w:rPr>
          <w:rFonts w:ascii="Times New Roman" w:hAnsi="Times New Roman" w:cs="Arial"/>
          <w:sz w:val="22"/>
          <w:szCs w:val="22"/>
        </w:rPr>
      </w:pPr>
      <w:r w:rsidRPr="00D70B4A">
        <w:rPr>
          <w:rFonts w:ascii="Times New Roman" w:hAnsi="Times New Roman" w:cs="Arial"/>
          <w:sz w:val="22"/>
          <w:szCs w:val="22"/>
        </w:rPr>
        <w:t>Who makes up the general audience and how many will be in attendance</w:t>
      </w:r>
    </w:p>
    <w:p w14:paraId="2060BBE2" w14:textId="77777777" w:rsidR="003746F0" w:rsidRPr="00D70B4A" w:rsidRDefault="003746F0" w:rsidP="00EB0734">
      <w:pPr>
        <w:widowControl w:val="0"/>
        <w:autoSpaceDE w:val="0"/>
        <w:autoSpaceDN w:val="0"/>
        <w:adjustRightInd w:val="0"/>
        <w:rPr>
          <w:rFonts w:ascii="Times New Roman" w:hAnsi="Times New Roman" w:cs="Arial"/>
        </w:rPr>
      </w:pPr>
    </w:p>
    <w:p w14:paraId="44A3053E" w14:textId="71AAB908" w:rsidR="003746F0" w:rsidRPr="00D70B4A" w:rsidRDefault="003746F0" w:rsidP="003746F0">
      <w:pPr>
        <w:rPr>
          <w:rFonts w:ascii="Times New Roman" w:hAnsi="Times New Roman"/>
        </w:rPr>
      </w:pPr>
      <w:r w:rsidRPr="00D70B4A">
        <w:rPr>
          <w:rFonts w:ascii="Times New Roman" w:hAnsi="Times New Roman"/>
          <w:color w:val="000000"/>
        </w:rPr>
        <w:t>Speaker's fees generally start at $250, but vary depending upon the length of the presentation, the type of function being held, and the financial capabilities of the host organization. Speaker's fees are designated as donations to the Burleson Institute. As part of the operating budget, they help the Burleson Institute to do research and outreach as members of our community.</w:t>
      </w:r>
      <w:r w:rsidR="001E7924" w:rsidRPr="00D70B4A">
        <w:rPr>
          <w:rFonts w:ascii="Times New Roman" w:hAnsi="Times New Roman"/>
          <w:color w:val="000000"/>
        </w:rPr>
        <w:t xml:space="preserve"> Recent </w:t>
      </w:r>
      <w:r w:rsidR="001E7924" w:rsidRPr="00D70B4A">
        <w:rPr>
          <w:rFonts w:ascii="Times New Roman" w:hAnsi="Times New Roman"/>
        </w:rPr>
        <w:t xml:space="preserve">Burleson Institute talks have integrated energy, climate, water, and human </w:t>
      </w:r>
      <w:r w:rsidR="009B51A5" w:rsidRPr="00D70B4A">
        <w:rPr>
          <w:rFonts w:ascii="Times New Roman" w:hAnsi="Times New Roman"/>
        </w:rPr>
        <w:t>/</w:t>
      </w:r>
      <w:r w:rsidR="001E7924" w:rsidRPr="00D70B4A">
        <w:rPr>
          <w:rFonts w:ascii="Times New Roman" w:hAnsi="Times New Roman"/>
        </w:rPr>
        <w:t xml:space="preserve"> environmental dynamics.</w:t>
      </w:r>
    </w:p>
    <w:p w14:paraId="092CF619" w14:textId="77777777" w:rsidR="00EB0734" w:rsidRPr="00D70B4A" w:rsidRDefault="00EB0734" w:rsidP="00EB0734">
      <w:pPr>
        <w:widowControl w:val="0"/>
        <w:autoSpaceDE w:val="0"/>
        <w:autoSpaceDN w:val="0"/>
        <w:adjustRightInd w:val="0"/>
        <w:rPr>
          <w:rFonts w:ascii="Times New Roman" w:hAnsi="Times New Roman" w:cs="Arial"/>
        </w:rPr>
      </w:pPr>
    </w:p>
    <w:p w14:paraId="7B86A01A" w14:textId="6114A34F" w:rsidR="007A7D7F" w:rsidRPr="00D70B4A" w:rsidRDefault="003E2EE6" w:rsidP="00A20251">
      <w:pPr>
        <w:ind w:left="270" w:right="360"/>
        <w:jc w:val="both"/>
        <w:rPr>
          <w:rFonts w:ascii="Times New Roman" w:hAnsi="Times New Roman" w:cs="Arial"/>
          <w:sz w:val="20"/>
          <w:szCs w:val="20"/>
        </w:rPr>
      </w:pPr>
      <w:r w:rsidRPr="00D70B4A">
        <w:rPr>
          <w:rStyle w:val="A8"/>
          <w:rFonts w:ascii="Times New Roman" w:hAnsi="Times New Roman" w:cs="Arial"/>
          <w:b/>
        </w:rPr>
        <w:t xml:space="preserve">Representative </w:t>
      </w:r>
      <w:r w:rsidR="00FA335E" w:rsidRPr="00D70B4A">
        <w:rPr>
          <w:rStyle w:val="A8"/>
          <w:rFonts w:ascii="Times New Roman" w:hAnsi="Times New Roman" w:cs="Arial"/>
          <w:b/>
        </w:rPr>
        <w:t>Presentations</w:t>
      </w:r>
      <w:r w:rsidR="00FA335E" w:rsidRPr="00D70B4A">
        <w:rPr>
          <w:rStyle w:val="A8"/>
          <w:rFonts w:ascii="Times New Roman" w:hAnsi="Times New Roman" w:cs="Arial"/>
        </w:rPr>
        <w:t xml:space="preserve">: </w:t>
      </w:r>
      <w:r w:rsidR="007A7D7F" w:rsidRPr="00D70B4A">
        <w:rPr>
          <w:rFonts w:ascii="Times New Roman" w:hAnsi="Times New Roman" w:cs="Arial"/>
          <w:sz w:val="20"/>
          <w:szCs w:val="20"/>
        </w:rPr>
        <w:t xml:space="preserve">Columbia • Yale (3) • Oxford • Cornell • New York University • World Bank (DC &amp; India) • United Nations (UN Office of Legal Affairs, </w:t>
      </w:r>
      <w:proofErr w:type="spellStart"/>
      <w:r w:rsidR="007A7D7F" w:rsidRPr="00D70B4A">
        <w:rPr>
          <w:rFonts w:ascii="Times New Roman" w:hAnsi="Times New Roman" w:cs="Arial"/>
          <w:sz w:val="20"/>
          <w:szCs w:val="20"/>
        </w:rPr>
        <w:t>UNITAR</w:t>
      </w:r>
      <w:proofErr w:type="spellEnd"/>
      <w:r w:rsidR="007A7D7F" w:rsidRPr="00D70B4A">
        <w:rPr>
          <w:rFonts w:ascii="Times New Roman" w:hAnsi="Times New Roman" w:cs="Arial"/>
          <w:sz w:val="20"/>
          <w:szCs w:val="20"/>
        </w:rPr>
        <w:t xml:space="preserve"> (5), UN University, UNESCO, UNEP, UNFCCC, UNICEF, and Commission on Sustainable Development, Division for Sustainable Development (2), UN Department of Economic and Social Affairs) • Fulbright – Uruguay • Fulbright – Brazil • National University of Singapore • Association of American Law Schools (5) • New York City Bar • University of Illinois • </w:t>
      </w:r>
      <w:r w:rsidR="007A7D7F" w:rsidRPr="00D70B4A">
        <w:rPr>
          <w:rFonts w:ascii="Times New Roman" w:hAnsi="Times New Roman" w:cs="Arial"/>
          <w:color w:val="000000"/>
          <w:sz w:val="20"/>
          <w:szCs w:val="20"/>
        </w:rPr>
        <w:t xml:space="preserve">Northeastern </w:t>
      </w:r>
      <w:r w:rsidR="007A7D7F" w:rsidRPr="00D70B4A">
        <w:rPr>
          <w:rFonts w:ascii="Times New Roman" w:hAnsi="Times New Roman" w:cs="Arial"/>
          <w:sz w:val="20"/>
          <w:szCs w:val="20"/>
        </w:rPr>
        <w:t xml:space="preserve">• Georgetown • George Washington • University of Maryland • China Foreign Affairs University • George Mason • Fordham (3) • University of Georgia • Case Western (2) • Florida State • University of Connecticut (4) • Georgia State • UC Irvine • Rutgers • </w:t>
      </w:r>
      <w:r w:rsidR="007A7D7F" w:rsidRPr="00D70B4A">
        <w:rPr>
          <w:rFonts w:ascii="Times New Roman" w:hAnsi="Times New Roman" w:cs="Arial"/>
          <w:color w:val="000000"/>
          <w:sz w:val="20"/>
          <w:szCs w:val="20"/>
        </w:rPr>
        <w:t>Lewis and Clark</w:t>
      </w:r>
      <w:r w:rsidR="007A7D7F" w:rsidRPr="00D70B4A">
        <w:rPr>
          <w:rFonts w:ascii="Times New Roman" w:hAnsi="Times New Roman" w:cs="Arial"/>
          <w:sz w:val="20"/>
          <w:szCs w:val="20"/>
        </w:rPr>
        <w:t xml:space="preserve"> • Vermont Law School (5) • Pace (5) • University of Oregon (4) • International Law Association (4) • American Society of International Law • University of South Carolina • </w:t>
      </w:r>
      <w:r w:rsidR="007A7D7F" w:rsidRPr="00D70B4A">
        <w:rPr>
          <w:rFonts w:ascii="Times New Roman" w:hAnsi="Times New Roman" w:cs="Arial"/>
          <w:color w:val="000000"/>
          <w:sz w:val="20"/>
          <w:szCs w:val="20"/>
        </w:rPr>
        <w:t xml:space="preserve">Brazil-American Institute for Law &amp; Environment (2) </w:t>
      </w:r>
      <w:r w:rsidR="007A7D7F" w:rsidRPr="00D70B4A">
        <w:rPr>
          <w:rFonts w:ascii="Times New Roman" w:hAnsi="Times New Roman" w:cs="Arial"/>
          <w:sz w:val="20"/>
          <w:szCs w:val="20"/>
        </w:rPr>
        <w:t xml:space="preserve">• Federal University of Bahia (Brazil) • Environmental Law Collaborative • </w:t>
      </w:r>
      <w:r w:rsidR="007A7D7F" w:rsidRPr="00D70B4A">
        <w:rPr>
          <w:rFonts w:ascii="Times New Roman" w:hAnsi="Times New Roman" w:cs="Arial"/>
          <w:color w:val="000000"/>
          <w:sz w:val="20"/>
          <w:szCs w:val="20"/>
        </w:rPr>
        <w:t>West Virginia University</w:t>
      </w:r>
      <w:r w:rsidR="007A7D7F" w:rsidRPr="00D70B4A">
        <w:rPr>
          <w:rFonts w:ascii="Times New Roman" w:hAnsi="Times New Roman" w:cs="Arial"/>
          <w:sz w:val="20"/>
          <w:szCs w:val="20"/>
        </w:rPr>
        <w:t xml:space="preserve"> • University of New South Wales (Australia) • </w:t>
      </w:r>
      <w:proofErr w:type="spellStart"/>
      <w:r w:rsidR="007A7D7F" w:rsidRPr="00D70B4A">
        <w:rPr>
          <w:rFonts w:ascii="Times New Roman" w:hAnsi="Times New Roman" w:cs="Arial"/>
          <w:sz w:val="20"/>
          <w:szCs w:val="20"/>
        </w:rPr>
        <w:t>UNE</w:t>
      </w:r>
      <w:proofErr w:type="spellEnd"/>
      <w:r w:rsidR="007A7D7F" w:rsidRPr="00D70B4A">
        <w:rPr>
          <w:rFonts w:ascii="Times New Roman" w:hAnsi="Times New Roman" w:cs="Arial"/>
          <w:sz w:val="20"/>
          <w:szCs w:val="20"/>
        </w:rPr>
        <w:t xml:space="preserve"> School of Law (Australia) • </w:t>
      </w:r>
      <w:proofErr w:type="spellStart"/>
      <w:r w:rsidR="007A7D7F" w:rsidRPr="00D70B4A">
        <w:rPr>
          <w:rFonts w:ascii="Times New Roman" w:hAnsi="Times New Roman" w:cs="Arial"/>
          <w:sz w:val="20"/>
          <w:szCs w:val="20"/>
        </w:rPr>
        <w:t>Université</w:t>
      </w:r>
      <w:proofErr w:type="spellEnd"/>
      <w:r w:rsidR="007A7D7F" w:rsidRPr="00D70B4A">
        <w:rPr>
          <w:rFonts w:ascii="Times New Roman" w:hAnsi="Times New Roman" w:cs="Arial"/>
          <w:sz w:val="20"/>
          <w:szCs w:val="20"/>
        </w:rPr>
        <w:t xml:space="preserve"> de Limoges (France) • Temple • University of Houston Law Center • Denver University Sturm College of Law • Amnesty International • Copenhagen University • </w:t>
      </w:r>
      <w:proofErr w:type="spellStart"/>
      <w:r w:rsidR="007A7D7F" w:rsidRPr="00D70B4A">
        <w:rPr>
          <w:rFonts w:ascii="Times New Roman" w:hAnsi="Times New Roman" w:cs="Arial"/>
          <w:sz w:val="20"/>
          <w:szCs w:val="20"/>
        </w:rPr>
        <w:t>IUCN</w:t>
      </w:r>
      <w:proofErr w:type="spellEnd"/>
      <w:r w:rsidR="007A7D7F" w:rsidRPr="00D70B4A">
        <w:rPr>
          <w:rFonts w:ascii="Times New Roman" w:hAnsi="Times New Roman" w:cs="Arial"/>
          <w:sz w:val="20"/>
          <w:szCs w:val="20"/>
        </w:rPr>
        <w:t xml:space="preserve"> Academy &amp; Villanova • Idaho • Wuhan University &amp; </w:t>
      </w:r>
      <w:proofErr w:type="spellStart"/>
      <w:r w:rsidR="007A7D7F" w:rsidRPr="00D70B4A">
        <w:rPr>
          <w:rFonts w:ascii="Times New Roman" w:hAnsi="Times New Roman" w:cs="Arial"/>
          <w:sz w:val="20"/>
          <w:szCs w:val="20"/>
        </w:rPr>
        <w:t>IUCN</w:t>
      </w:r>
      <w:proofErr w:type="spellEnd"/>
      <w:r w:rsidR="007A7D7F" w:rsidRPr="00D70B4A">
        <w:rPr>
          <w:rFonts w:ascii="Times New Roman" w:hAnsi="Times New Roman" w:cs="Arial"/>
          <w:sz w:val="20"/>
          <w:szCs w:val="20"/>
        </w:rPr>
        <w:t xml:space="preserve"> • Mount Rushmore Institute on Energy • Natural Resources Law Professor Institute • American Agricultural Law Association • University of Nebraska • Gonzaga  • Wesleyan • Colby Human Rights &amp; Environment Speakers Series • Universidad del Valle de Mexico • Japanese Ministry of Foreign Affairs • Red Cross (Nicaragua) • Iona College • Rotary International • </w:t>
      </w:r>
      <w:r w:rsidR="007A7D7F" w:rsidRPr="00D70B4A">
        <w:rPr>
          <w:rFonts w:ascii="Times New Roman" w:hAnsi="Times New Roman" w:cs="Arial"/>
          <w:color w:val="000000"/>
          <w:sz w:val="20"/>
          <w:szCs w:val="20"/>
        </w:rPr>
        <w:t>Master of Ceremonies Public Interest Network Auction/Open Mic</w:t>
      </w:r>
      <w:r w:rsidR="007A7D7F" w:rsidRPr="00D70B4A">
        <w:rPr>
          <w:rFonts w:ascii="Times New Roman" w:hAnsi="Times New Roman" w:cs="Arial"/>
          <w:sz w:val="20"/>
          <w:szCs w:val="20"/>
        </w:rPr>
        <w:t xml:space="preserve"> (3) • University for Peace (Costa Rica) • Polish National Parliament • St. Petersburg State University (Russia) • private audience with King of Nepal (</w:t>
      </w:r>
      <w:proofErr w:type="spellStart"/>
      <w:r w:rsidR="007A7D7F" w:rsidRPr="00D70B4A">
        <w:rPr>
          <w:rFonts w:ascii="Times New Roman" w:hAnsi="Times New Roman" w:cs="Arial"/>
          <w:sz w:val="20"/>
          <w:szCs w:val="20"/>
        </w:rPr>
        <w:t>Nepal</w:t>
      </w:r>
      <w:proofErr w:type="spellEnd"/>
      <w:r w:rsidR="007A7D7F" w:rsidRPr="00D70B4A">
        <w:rPr>
          <w:rFonts w:ascii="Times New Roman" w:hAnsi="Times New Roman" w:cs="Arial"/>
          <w:sz w:val="20"/>
          <w:szCs w:val="20"/>
        </w:rPr>
        <w:t xml:space="preserve">) • SD Public Radio (2) • ABC News (2) • Reuters/Bloomberg. </w:t>
      </w:r>
    </w:p>
    <w:p w14:paraId="0FA5E3A3" w14:textId="537646CA" w:rsidR="00FA335E" w:rsidRPr="00D70B4A" w:rsidRDefault="00FA335E" w:rsidP="007A7D7F">
      <w:pPr>
        <w:widowControl w:val="0"/>
        <w:autoSpaceDE w:val="0"/>
        <w:autoSpaceDN w:val="0"/>
        <w:adjustRightInd w:val="0"/>
        <w:rPr>
          <w:rFonts w:ascii="Times New Roman" w:hAnsi="Times New Roman" w:cs="Minion Pro"/>
          <w:color w:val="221E1F"/>
        </w:rPr>
      </w:pPr>
    </w:p>
    <w:p w14:paraId="0CBC8A45" w14:textId="77777777" w:rsidR="00B44AA9" w:rsidRPr="00254506" w:rsidRDefault="00B44AA9" w:rsidP="00B44AA9">
      <w:pPr>
        <w:ind w:left="180" w:right="198"/>
        <w:jc w:val="both"/>
        <w:rPr>
          <w:rFonts w:ascii="Times New Roman" w:hAnsi="Times New Roman" w:cs="Times New Roman"/>
          <w:color w:val="000000"/>
        </w:rPr>
      </w:pPr>
      <w:bookmarkStart w:id="0" w:name="_GoBack"/>
      <w:r w:rsidRPr="00254506">
        <w:rPr>
          <w:rFonts w:ascii="Times New Roman" w:hAnsi="Times New Roman" w:cs="Times New Roman"/>
          <w:color w:val="000000"/>
        </w:rPr>
        <w:t xml:space="preserve">Burleson received her London School of Economics </w:t>
      </w:r>
      <w:proofErr w:type="spellStart"/>
      <w:r w:rsidRPr="00254506">
        <w:rPr>
          <w:rFonts w:ascii="Times New Roman" w:hAnsi="Times New Roman" w:cs="Times New Roman"/>
          <w:color w:val="000000"/>
        </w:rPr>
        <w:t>LLM</w:t>
      </w:r>
      <w:proofErr w:type="spellEnd"/>
      <w:r w:rsidRPr="00254506">
        <w:rPr>
          <w:rFonts w:ascii="Times New Roman" w:hAnsi="Times New Roman" w:cs="Times New Roman"/>
          <w:color w:val="000000"/>
        </w:rPr>
        <w:t xml:space="preserve"> in International Law and partners with the United Nations Climate Technology Center and Network to advise countries. This builds on over a quarter of a century of energy-climate-water governance analysis ranging from being an advisor to UNICEF's Senior Advisor for the Environment and to the New York Director of UNEP. She writes reports for the UN and presents on treaty making for the UN Office of Legal Affairs / </w:t>
      </w:r>
      <w:proofErr w:type="spellStart"/>
      <w:r w:rsidRPr="00254506">
        <w:rPr>
          <w:rFonts w:ascii="Times New Roman" w:hAnsi="Times New Roman" w:cs="Times New Roman"/>
          <w:color w:val="000000"/>
        </w:rPr>
        <w:t>UNITAR</w:t>
      </w:r>
      <w:proofErr w:type="spellEnd"/>
      <w:r w:rsidRPr="00254506">
        <w:rPr>
          <w:rFonts w:ascii="Times New Roman" w:hAnsi="Times New Roman" w:cs="Times New Roman"/>
          <w:color w:val="000000"/>
        </w:rPr>
        <w:t xml:space="preserve">, having participated in the drafting process for the United Nations Framework Convention on Climate Change (UNFCCC), Agenda 21, and the Rio Declaration. She is an expert contributor to the International Panel on Climate Change (IPCC). As president of the Burleson Institute, she advises developed and developing countries, </w:t>
      </w:r>
      <w:r w:rsidRPr="00254506">
        <w:rPr>
          <w:rFonts w:ascii="Times New Roman" w:hAnsi="Times New Roman" w:cs="Times New Roman"/>
          <w:color w:val="000000"/>
        </w:rPr>
        <w:lastRenderedPageBreak/>
        <w:t xml:space="preserve">regional entities, tribes, and a range of interrelated state and non-state actors. Burleson has served as UNICEF, UNEP, </w:t>
      </w:r>
      <w:proofErr w:type="spellStart"/>
      <w:r w:rsidRPr="00254506">
        <w:rPr>
          <w:rFonts w:ascii="Times New Roman" w:hAnsi="Times New Roman" w:cs="Times New Roman"/>
          <w:color w:val="000000"/>
        </w:rPr>
        <w:t>NWF</w:t>
      </w:r>
      <w:proofErr w:type="spellEnd"/>
      <w:r w:rsidRPr="00254506">
        <w:rPr>
          <w:rFonts w:ascii="Times New Roman" w:hAnsi="Times New Roman" w:cs="Times New Roman"/>
          <w:color w:val="000000"/>
        </w:rPr>
        <w:t xml:space="preserve">, </w:t>
      </w:r>
      <w:proofErr w:type="spellStart"/>
      <w:r w:rsidRPr="00254506">
        <w:rPr>
          <w:rFonts w:ascii="Times New Roman" w:hAnsi="Times New Roman" w:cs="Times New Roman"/>
          <w:color w:val="000000"/>
        </w:rPr>
        <w:t>ASIL</w:t>
      </w:r>
      <w:proofErr w:type="spellEnd"/>
      <w:r w:rsidRPr="00254506">
        <w:rPr>
          <w:rFonts w:ascii="Times New Roman" w:hAnsi="Times New Roman" w:cs="Times New Roman"/>
          <w:color w:val="000000"/>
        </w:rPr>
        <w:t xml:space="preserve">, and </w:t>
      </w:r>
      <w:proofErr w:type="spellStart"/>
      <w:r w:rsidRPr="00254506">
        <w:rPr>
          <w:rFonts w:ascii="Times New Roman" w:hAnsi="Times New Roman" w:cs="Times New Roman"/>
          <w:color w:val="000000"/>
        </w:rPr>
        <w:t>IUCN</w:t>
      </w:r>
      <w:proofErr w:type="spellEnd"/>
      <w:r w:rsidRPr="00254506">
        <w:rPr>
          <w:rFonts w:ascii="Times New Roman" w:hAnsi="Times New Roman" w:cs="Times New Roman"/>
          <w:color w:val="000000"/>
        </w:rPr>
        <w:t xml:space="preserve"> delegates to Bali, Copenhagen, Cancun, Durban, Doha, Warsaw, Lima, and Paris UN Climate Conferences. She conducts commissioned research for governmental and nongovernmental entities. She is on the International Law Association’s Committees on Sea Level Rise and on Principles Relating to Climate Change, </w:t>
      </w:r>
      <w:r w:rsidRPr="00254506">
        <w:rPr>
          <w:rFonts w:ascii="Times New Roman" w:hAnsi="Times New Roman" w:cs="Times New Roman"/>
        </w:rPr>
        <w:t>International Bar Association Working Group Report on Human Rights and the Environment,</w:t>
      </w:r>
      <w:r w:rsidRPr="00254506">
        <w:rPr>
          <w:rFonts w:ascii="Times New Roman" w:hAnsi="Times New Roman" w:cs="Times New Roman"/>
          <w:color w:val="000000"/>
        </w:rPr>
        <w:t xml:space="preserve"> </w:t>
      </w:r>
      <w:proofErr w:type="spellStart"/>
      <w:r w:rsidRPr="00254506">
        <w:rPr>
          <w:rFonts w:ascii="Times New Roman" w:hAnsi="Times New Roman" w:cs="Times New Roman"/>
          <w:color w:val="000000"/>
        </w:rPr>
        <w:t>IUCN's</w:t>
      </w:r>
      <w:proofErr w:type="spellEnd"/>
      <w:r w:rsidRPr="00254506">
        <w:rPr>
          <w:rFonts w:ascii="Times New Roman" w:hAnsi="Times New Roman" w:cs="Times New Roman"/>
          <w:color w:val="000000"/>
        </w:rPr>
        <w:t xml:space="preserve"> Climate Change Core Group, and the National Wildlife Federation President's Advisory Council. As a law professor and Fulbright Senior Specialist, she has taught Energy Law, Human Rights and Environment, International Environmental Law, Public International Law, UN Law, International Law and China, Land Use, Property Law, International Economic Law, Trade, and the Environment, Water Law, and Environmental Law. She has been a peer reviewer for Fulbright, Oxford, Cambridge, National Academies, and a range of other academic, ministerial, and other legal/interdisciplinary publishers. </w:t>
      </w:r>
      <w:r w:rsidRPr="00254506">
        <w:rPr>
          <w:rFonts w:ascii="Times New Roman" w:eastAsia="Times" w:hAnsi="Times New Roman" w:cs="Times New Roman"/>
        </w:rPr>
        <w:t xml:space="preserve">Her ongoing public/private work </w:t>
      </w:r>
      <w:r w:rsidRPr="00254506">
        <w:rPr>
          <w:rFonts w:ascii="Times New Roman" w:hAnsi="Times New Roman" w:cs="Times New Roman"/>
          <w:color w:val="000000"/>
        </w:rPr>
        <w:t xml:space="preserve">brings together international economic, social, and environmental communities to coordinate energy-climate-water solutions. Through the Burleson Institute, she shares analysis on evolving best practices. Institute participants help address issues ranging from local to global initiatives. Burleson has conducted legal research for Amnesty International's London-based International Secretariat and New York-based Research Division. As a </w:t>
      </w:r>
      <w:r w:rsidRPr="00254506">
        <w:rPr>
          <w:rFonts w:ascii="Times New Roman" w:hAnsi="Times New Roman" w:cs="Times New Roman"/>
        </w:rPr>
        <w:t>scholar, practitioner, and governmental advisor, she</w:t>
      </w:r>
      <w:r w:rsidRPr="00254506">
        <w:rPr>
          <w:rFonts w:ascii="Times New Roman" w:hAnsi="Times New Roman" w:cs="Times New Roman"/>
          <w:color w:val="000000"/>
        </w:rPr>
        <w:t xml:space="preserve"> has provided climate-energy expertise to the French, Japanese, Peruvian, United States, and Uruguayan governments. She has also provided legal advice to a wide range of developing countries through the Legal Response Initiative coordinated by Columbia University School of Law</w:t>
      </w:r>
      <w:r w:rsidRPr="00254506">
        <w:rPr>
          <w:rFonts w:ascii="Times New Roman" w:eastAsia="Times" w:hAnsi="Times New Roman" w:cs="Times New Roman"/>
        </w:rPr>
        <w:t>.</w:t>
      </w:r>
    </w:p>
    <w:p w14:paraId="5AF5A2F8" w14:textId="049802A1" w:rsidR="00DE544B" w:rsidRPr="00254506" w:rsidRDefault="00DE544B" w:rsidP="001E7924">
      <w:pPr>
        <w:jc w:val="both"/>
        <w:rPr>
          <w:rFonts w:ascii="Times New Roman" w:hAnsi="Times New Roman" w:cs="Times New Roman"/>
        </w:rPr>
      </w:pPr>
    </w:p>
    <w:bookmarkEnd w:id="0"/>
    <w:p w14:paraId="512EA432" w14:textId="77777777" w:rsidR="00926E0A" w:rsidRPr="00D70B4A" w:rsidRDefault="00926E0A">
      <w:pPr>
        <w:rPr>
          <w:rFonts w:ascii="Times New Roman" w:hAnsi="Times New Roman"/>
        </w:rPr>
      </w:pPr>
    </w:p>
    <w:sectPr w:rsidR="00926E0A" w:rsidRPr="00D70B4A" w:rsidSect="007A735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C203" w14:textId="77777777" w:rsidR="00BF2CAE" w:rsidRDefault="00BF2CAE" w:rsidP="00EB0734">
      <w:r>
        <w:separator/>
      </w:r>
    </w:p>
  </w:endnote>
  <w:endnote w:type="continuationSeparator" w:id="0">
    <w:p w14:paraId="64A32CDD" w14:textId="77777777" w:rsidR="00BF2CAE" w:rsidRDefault="00BF2CAE" w:rsidP="00E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581E4" w14:textId="77777777" w:rsidR="003B3029" w:rsidRDefault="003B30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0944C" w14:textId="77777777" w:rsidR="003B3029" w:rsidRDefault="003B30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A972" w14:textId="77777777" w:rsidR="003B3029" w:rsidRDefault="003B30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DBD52" w14:textId="77777777" w:rsidR="00BF2CAE" w:rsidRDefault="00BF2CAE" w:rsidP="00EB0734">
      <w:r>
        <w:separator/>
      </w:r>
    </w:p>
  </w:footnote>
  <w:footnote w:type="continuationSeparator" w:id="0">
    <w:p w14:paraId="682BE5CF" w14:textId="77777777" w:rsidR="00BF2CAE" w:rsidRDefault="00BF2CAE" w:rsidP="00EB07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E58A" w14:textId="77777777" w:rsidR="003B3029" w:rsidRDefault="003B30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452F" w14:textId="5750509D" w:rsidR="004B71B8" w:rsidRDefault="009F222D" w:rsidP="00EB0734">
    <w:pPr>
      <w:jc w:val="center"/>
      <w:rPr>
        <w:rFonts w:asciiTheme="majorHAnsi" w:hAnsiTheme="majorHAnsi"/>
        <w:b/>
      </w:rPr>
    </w:pPr>
    <w:r w:rsidRPr="00EB0734">
      <w:rPr>
        <w:rFonts w:asciiTheme="majorHAnsi" w:hAnsiTheme="majorHAnsi"/>
        <w:b/>
      </w:rPr>
      <w:t>SPEAKING ENGAGEMENT REQUEST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16123" w14:textId="77777777" w:rsidR="003B3029" w:rsidRDefault="003B30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B3"/>
    <w:rsid w:val="000B7526"/>
    <w:rsid w:val="000C6488"/>
    <w:rsid w:val="00104A68"/>
    <w:rsid w:val="00141E36"/>
    <w:rsid w:val="001628FE"/>
    <w:rsid w:val="0018614A"/>
    <w:rsid w:val="001B71B8"/>
    <w:rsid w:val="001E7924"/>
    <w:rsid w:val="00254506"/>
    <w:rsid w:val="003746F0"/>
    <w:rsid w:val="003A6C7B"/>
    <w:rsid w:val="003B3029"/>
    <w:rsid w:val="003E2EE6"/>
    <w:rsid w:val="003F7519"/>
    <w:rsid w:val="004217F8"/>
    <w:rsid w:val="004B71B8"/>
    <w:rsid w:val="005319EC"/>
    <w:rsid w:val="005503C3"/>
    <w:rsid w:val="00560562"/>
    <w:rsid w:val="00570F6E"/>
    <w:rsid w:val="006258B6"/>
    <w:rsid w:val="00636DAE"/>
    <w:rsid w:val="006A52E3"/>
    <w:rsid w:val="00760A1F"/>
    <w:rsid w:val="00790FCF"/>
    <w:rsid w:val="007A735A"/>
    <w:rsid w:val="007A7D7F"/>
    <w:rsid w:val="007C3C8F"/>
    <w:rsid w:val="00823EBC"/>
    <w:rsid w:val="0082620E"/>
    <w:rsid w:val="00875EBF"/>
    <w:rsid w:val="008B4AC5"/>
    <w:rsid w:val="008E7975"/>
    <w:rsid w:val="00926E0A"/>
    <w:rsid w:val="00980AC8"/>
    <w:rsid w:val="009B51A5"/>
    <w:rsid w:val="009F222D"/>
    <w:rsid w:val="00A20251"/>
    <w:rsid w:val="00A61EBC"/>
    <w:rsid w:val="00AD75F4"/>
    <w:rsid w:val="00B44AA9"/>
    <w:rsid w:val="00BB12EF"/>
    <w:rsid w:val="00BF2CAE"/>
    <w:rsid w:val="00C212F9"/>
    <w:rsid w:val="00C43A2A"/>
    <w:rsid w:val="00CF20B3"/>
    <w:rsid w:val="00D0492B"/>
    <w:rsid w:val="00D70B4A"/>
    <w:rsid w:val="00DE544B"/>
    <w:rsid w:val="00E46D84"/>
    <w:rsid w:val="00E6115D"/>
    <w:rsid w:val="00EB0734"/>
    <w:rsid w:val="00EE1898"/>
    <w:rsid w:val="00F00941"/>
    <w:rsid w:val="00F62D07"/>
    <w:rsid w:val="00F6399E"/>
    <w:rsid w:val="00F93392"/>
    <w:rsid w:val="00FA335E"/>
    <w:rsid w:val="00FC6030"/>
    <w:rsid w:val="00FD58D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918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A335E"/>
    <w:pPr>
      <w:widowControl w:val="0"/>
      <w:autoSpaceDE w:val="0"/>
      <w:autoSpaceDN w:val="0"/>
      <w:adjustRightInd w:val="0"/>
      <w:spacing w:line="241" w:lineRule="atLeast"/>
    </w:pPr>
    <w:rPr>
      <w:rFonts w:ascii="Minion Pro" w:hAnsi="Minion Pro" w:cs="Times New Roman"/>
    </w:rPr>
  </w:style>
  <w:style w:type="paragraph" w:customStyle="1" w:styleId="Pa1">
    <w:name w:val="Pa1"/>
    <w:basedOn w:val="Normal"/>
    <w:next w:val="Normal"/>
    <w:uiPriority w:val="99"/>
    <w:rsid w:val="00FA335E"/>
    <w:pPr>
      <w:widowControl w:val="0"/>
      <w:autoSpaceDE w:val="0"/>
      <w:autoSpaceDN w:val="0"/>
      <w:adjustRightInd w:val="0"/>
      <w:spacing w:line="241" w:lineRule="atLeast"/>
    </w:pPr>
    <w:rPr>
      <w:rFonts w:ascii="Minion Pro" w:hAnsi="Minion Pro" w:cs="Times New Roman"/>
    </w:rPr>
  </w:style>
  <w:style w:type="character" w:customStyle="1" w:styleId="A8">
    <w:name w:val="A8"/>
    <w:uiPriority w:val="99"/>
    <w:rsid w:val="00FA335E"/>
    <w:rPr>
      <w:rFonts w:ascii="Verdana" w:hAnsi="Verdana" w:cs="Verdana"/>
      <w:color w:val="221E1F"/>
      <w:sz w:val="20"/>
      <w:szCs w:val="20"/>
    </w:rPr>
  </w:style>
  <w:style w:type="paragraph" w:styleId="Header">
    <w:name w:val="header"/>
    <w:basedOn w:val="Normal"/>
    <w:link w:val="HeaderChar"/>
    <w:uiPriority w:val="99"/>
    <w:unhideWhenUsed/>
    <w:rsid w:val="00EB0734"/>
    <w:pPr>
      <w:tabs>
        <w:tab w:val="center" w:pos="4320"/>
        <w:tab w:val="right" w:pos="8640"/>
      </w:tabs>
    </w:pPr>
  </w:style>
  <w:style w:type="character" w:customStyle="1" w:styleId="HeaderChar">
    <w:name w:val="Header Char"/>
    <w:basedOn w:val="DefaultParagraphFont"/>
    <w:link w:val="Header"/>
    <w:uiPriority w:val="99"/>
    <w:rsid w:val="00EB0734"/>
    <w:rPr>
      <w:sz w:val="24"/>
      <w:szCs w:val="24"/>
    </w:rPr>
  </w:style>
  <w:style w:type="paragraph" w:styleId="Footer">
    <w:name w:val="footer"/>
    <w:basedOn w:val="Normal"/>
    <w:link w:val="FooterChar"/>
    <w:uiPriority w:val="99"/>
    <w:unhideWhenUsed/>
    <w:rsid w:val="00EB0734"/>
    <w:pPr>
      <w:tabs>
        <w:tab w:val="center" w:pos="4320"/>
        <w:tab w:val="right" w:pos="8640"/>
      </w:tabs>
    </w:pPr>
  </w:style>
  <w:style w:type="character" w:customStyle="1" w:styleId="FooterChar">
    <w:name w:val="Footer Char"/>
    <w:basedOn w:val="DefaultParagraphFont"/>
    <w:link w:val="Footer"/>
    <w:uiPriority w:val="99"/>
    <w:rsid w:val="00EB07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838</Words>
  <Characters>4780</Characters>
  <Application>Microsoft Macintosh Word</Application>
  <DocSecurity>0</DocSecurity>
  <Lines>39</Lines>
  <Paragraphs>11</Paragraphs>
  <ScaleCrop>false</ScaleCrop>
  <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Elizabeth Burleson</cp:lastModifiedBy>
  <cp:revision>40</cp:revision>
  <cp:lastPrinted>2015-08-03T12:09:00Z</cp:lastPrinted>
  <dcterms:created xsi:type="dcterms:W3CDTF">2014-12-02T01:21:00Z</dcterms:created>
  <dcterms:modified xsi:type="dcterms:W3CDTF">2017-05-21T01:12:00Z</dcterms:modified>
</cp:coreProperties>
</file>